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龙江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龙江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龙江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龙江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英都镇龙江村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龙江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E987D02"/>
    <w:rsid w:val="0F176051"/>
    <w:rsid w:val="1A840CB2"/>
    <w:rsid w:val="1C931680"/>
    <w:rsid w:val="272A2BE1"/>
    <w:rsid w:val="2F6A44C2"/>
    <w:rsid w:val="32883002"/>
    <w:rsid w:val="35003A0F"/>
    <w:rsid w:val="37E56DDC"/>
    <w:rsid w:val="39B36A66"/>
    <w:rsid w:val="417232F5"/>
    <w:rsid w:val="44D951DA"/>
    <w:rsid w:val="466B7CC7"/>
    <w:rsid w:val="4A11580F"/>
    <w:rsid w:val="530C784E"/>
    <w:rsid w:val="56EC7829"/>
    <w:rsid w:val="61502F36"/>
    <w:rsid w:val="67EC1211"/>
    <w:rsid w:val="6B36450E"/>
    <w:rsid w:val="6B9A0018"/>
    <w:rsid w:val="6F453457"/>
    <w:rsid w:val="7C1D477C"/>
    <w:rsid w:val="7F7973D7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A206D66AA815451EB57635B15FA6C2C7_13</vt:lpwstr>
  </property>
</Properties>
</file>